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6C75" w14:textId="08E32F15" w:rsidR="00110A8D" w:rsidRDefault="00AE3E69" w:rsidP="00620AAF">
      <w:pPr>
        <w:spacing w:after="0" w:line="240" w:lineRule="au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How to use this document:</w:t>
      </w:r>
    </w:p>
    <w:p w14:paraId="0E554268" w14:textId="77777777" w:rsidR="00AE3E69" w:rsidRDefault="00AE3E69" w:rsidP="00620AAF">
      <w:pPr>
        <w:spacing w:after="0" w:line="240" w:lineRule="auto"/>
        <w:rPr>
          <w:rFonts w:ascii="Calibri" w:hAnsi="Calibri" w:cs="Calibri"/>
          <w:b/>
          <w:bCs/>
          <w:noProof/>
        </w:rPr>
      </w:pPr>
    </w:p>
    <w:p w14:paraId="79826439" w14:textId="0E91E6F0" w:rsidR="00110A8D" w:rsidRPr="00110A8D" w:rsidRDefault="003868E4" w:rsidP="00620AAF">
      <w:pPr>
        <w:spacing w:after="0" w:line="240" w:lineRule="auto"/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 xml:space="preserve">Words highlighted in </w:t>
      </w:r>
      <w:r w:rsidRPr="003868E4">
        <w:rPr>
          <w:rFonts w:ascii="Calibri" w:hAnsi="Calibri" w:cs="Calibri"/>
          <w:b/>
          <w:bCs/>
          <w:noProof/>
          <w:highlight w:val="yellow"/>
        </w:rPr>
        <w:t>yellow</w:t>
      </w:r>
      <w:r>
        <w:rPr>
          <w:rFonts w:ascii="Calibri" w:hAnsi="Calibri" w:cs="Calibri"/>
          <w:b/>
          <w:bCs/>
          <w:noProof/>
        </w:rPr>
        <w:t xml:space="preserve"> are to be replaced.</w:t>
      </w:r>
    </w:p>
    <w:p w14:paraId="1EFD26F9" w14:textId="77777777" w:rsidR="003868E4" w:rsidRDefault="003868E4" w:rsidP="00620AAF">
      <w:pPr>
        <w:spacing w:after="0" w:line="240" w:lineRule="auto"/>
        <w:rPr>
          <w:rFonts w:ascii="Calibri" w:hAnsi="Calibri" w:cs="Calibri"/>
          <w:noProof/>
        </w:rPr>
      </w:pPr>
    </w:p>
    <w:p w14:paraId="5ABF822A" w14:textId="70CCD90C" w:rsidR="003868E4" w:rsidRDefault="003868E4" w:rsidP="00620AAF">
      <w:pPr>
        <w:spacing w:after="0" w:line="240" w:lineRule="auto"/>
        <w:ind w:left="720"/>
      </w:pPr>
      <w:r>
        <w:rPr>
          <w:rFonts w:ascii="Calibri" w:hAnsi="Calibri" w:cs="Calibri"/>
          <w:noProof/>
        </w:rPr>
        <w:t xml:space="preserve">For example, </w:t>
      </w:r>
      <w:r w:rsidRPr="004C4271">
        <w:rPr>
          <w:highlight w:val="yellow"/>
        </w:rPr>
        <w:t>[FUND NAME]</w:t>
      </w:r>
      <w:r>
        <w:t xml:space="preserve"> becomes the name of your fund, </w:t>
      </w:r>
      <w:proofErr w:type="gramStart"/>
      <w:r>
        <w:t>i.e.</w:t>
      </w:r>
      <w:proofErr w:type="gramEnd"/>
      <w:r>
        <w:t xml:space="preserve"> McCook Community Foundation Fund, Nebraska City Community Foundation Fund, etc.</w:t>
      </w:r>
    </w:p>
    <w:p w14:paraId="1857EEB4" w14:textId="4B562C7A" w:rsidR="003868E4" w:rsidRDefault="003868E4" w:rsidP="00620AAF">
      <w:pPr>
        <w:spacing w:after="0" w:line="240" w:lineRule="auto"/>
        <w:ind w:left="720"/>
      </w:pPr>
      <w:r w:rsidRPr="003868E4">
        <w:rPr>
          <w:highlight w:val="yellow"/>
        </w:rPr>
        <w:t>[HOMETOWN]</w:t>
      </w:r>
      <w:r>
        <w:t xml:space="preserve"> should be replaced with either the name of your community or the name of your county, whichever best matches the area you</w:t>
      </w:r>
      <w:r w:rsidR="00382235">
        <w:t xml:space="preserve">r </w:t>
      </w:r>
      <w:r w:rsidR="00BE31BF">
        <w:t xml:space="preserve">NCF </w:t>
      </w:r>
      <w:r w:rsidR="00382235">
        <w:t>affiliated fund</w:t>
      </w:r>
      <w:r>
        <w:t xml:space="preserve"> </w:t>
      </w:r>
      <w:r w:rsidR="006741A3">
        <w:t>serve</w:t>
      </w:r>
      <w:r w:rsidR="00382235">
        <w:t>s</w:t>
      </w:r>
      <w:r>
        <w:t>.</w:t>
      </w:r>
    </w:p>
    <w:p w14:paraId="45007E9F" w14:textId="3B6A0447" w:rsidR="003868E4" w:rsidRPr="006741A3" w:rsidRDefault="003868E4" w:rsidP="00620AAF">
      <w:pPr>
        <w:spacing w:after="0" w:line="240" w:lineRule="auto"/>
        <w:rPr>
          <w:rFonts w:ascii="Calibri" w:hAnsi="Calibri" w:cs="Calibri"/>
          <w:b/>
          <w:bCs/>
          <w:noProof/>
        </w:rPr>
      </w:pPr>
      <w:r w:rsidRPr="006741A3">
        <w:rPr>
          <w:rFonts w:ascii="Calibri" w:hAnsi="Calibri" w:cs="Calibri"/>
          <w:b/>
          <w:bCs/>
          <w:noProof/>
        </w:rPr>
        <w:t xml:space="preserve">For the following section, please visit </w:t>
      </w:r>
      <w:hyperlink r:id="rId4" w:history="1">
        <w:r w:rsidRPr="006741A3">
          <w:rPr>
            <w:rStyle w:val="Hyperlink"/>
            <w:rFonts w:ascii="Calibri" w:hAnsi="Calibri" w:cs="Calibri"/>
            <w:b/>
            <w:bCs/>
            <w:noProof/>
          </w:rPr>
          <w:t>www.fivetothrivene.org</w:t>
        </w:r>
      </w:hyperlink>
      <w:r w:rsidRPr="006741A3">
        <w:rPr>
          <w:rFonts w:ascii="Calibri" w:hAnsi="Calibri" w:cs="Calibri"/>
          <w:b/>
          <w:bCs/>
          <w:noProof/>
        </w:rPr>
        <w:t xml:space="preserve"> and locate your county on the interactive map.</w:t>
      </w:r>
    </w:p>
    <w:p w14:paraId="3F0685E2" w14:textId="3D746FC2" w:rsidR="003868E4" w:rsidRPr="00AD5A87" w:rsidRDefault="003868E4" w:rsidP="00620AAF">
      <w:pPr>
        <w:spacing w:after="0" w:line="240" w:lineRule="auto"/>
        <w:ind w:left="720"/>
        <w:rPr>
          <w:i/>
          <w:iCs/>
        </w:rPr>
      </w:pPr>
      <w:r w:rsidRPr="00AD5A87">
        <w:t xml:space="preserve">In </w:t>
      </w:r>
      <w:r w:rsidRPr="00AD5A87">
        <w:rPr>
          <w:highlight w:val="yellow"/>
        </w:rPr>
        <w:t>COUNTY</w:t>
      </w:r>
      <w:r w:rsidRPr="00AD5A87">
        <w:t xml:space="preserve">, </w:t>
      </w:r>
      <w:r w:rsidRPr="00982353">
        <w:rPr>
          <w:highlight w:val="yellow"/>
        </w:rPr>
        <w:t>$</w:t>
      </w:r>
      <w:r w:rsidRPr="00AD5A87">
        <w:rPr>
          <w:highlight w:val="yellow"/>
        </w:rPr>
        <w:t>NUMBER</w:t>
      </w:r>
      <w:r w:rsidRPr="00AD5A87">
        <w:t xml:space="preserve"> </w:t>
      </w:r>
      <w:r>
        <w:t>could</w:t>
      </w:r>
      <w:r w:rsidRPr="00AD5A87">
        <w:t xml:space="preserve"> change hands in the next 10 years. If 5% of that were set aside</w:t>
      </w:r>
      <w:r>
        <w:t xml:space="preserve">, our community would receive a </w:t>
      </w:r>
      <w:r w:rsidRPr="00982353">
        <w:rPr>
          <w:highlight w:val="yellow"/>
        </w:rPr>
        <w:t>$</w:t>
      </w:r>
      <w:r w:rsidRPr="00AD5A87">
        <w:rPr>
          <w:highlight w:val="yellow"/>
        </w:rPr>
        <w:t>NUMBER</w:t>
      </w:r>
      <w:r>
        <w:t xml:space="preserve"> boost</w:t>
      </w:r>
      <w:r w:rsidRPr="00AD5A87">
        <w:t xml:space="preserve">. </w:t>
      </w:r>
      <w:bookmarkStart w:id="0" w:name="_Hlk86307153"/>
      <w:r w:rsidRPr="00AD5A87">
        <w:rPr>
          <w:i/>
          <w:iCs/>
          <w:highlight w:val="yellow"/>
        </w:rPr>
        <w:t xml:space="preserve">(Note: To find your county’s Transfer of Wealth figures, visit </w:t>
      </w:r>
      <w:hyperlink r:id="rId5" w:history="1">
        <w:r w:rsidRPr="00AD5A87">
          <w:rPr>
            <w:rStyle w:val="Hyperlink"/>
            <w:i/>
            <w:iCs/>
            <w:highlight w:val="yellow"/>
          </w:rPr>
          <w:t>www.fivetothrivene.org</w:t>
        </w:r>
      </w:hyperlink>
      <w:r w:rsidRPr="00AD5A87">
        <w:rPr>
          <w:i/>
          <w:iCs/>
          <w:highlight w:val="yellow"/>
        </w:rPr>
        <w:t xml:space="preserve"> and click your county on the interactive map</w:t>
      </w:r>
      <w:r>
        <w:rPr>
          <w:i/>
          <w:iCs/>
          <w:highlight w:val="yellow"/>
        </w:rPr>
        <w:t>.</w:t>
      </w:r>
      <w:r w:rsidR="006741A3">
        <w:rPr>
          <w:i/>
          <w:iCs/>
          <w:highlight w:val="yellow"/>
        </w:rPr>
        <w:t xml:space="preserve"> The two figures cited in this paragraph are </w:t>
      </w:r>
      <w:r w:rsidR="006741A3" w:rsidRPr="006741A3">
        <w:rPr>
          <w:b/>
          <w:bCs/>
          <w:i/>
          <w:iCs/>
          <w:highlight w:val="yellow"/>
        </w:rPr>
        <w:t>10-year TOW</w:t>
      </w:r>
      <w:r w:rsidR="006741A3">
        <w:rPr>
          <w:i/>
          <w:iCs/>
          <w:highlight w:val="yellow"/>
        </w:rPr>
        <w:t xml:space="preserve"> and </w:t>
      </w:r>
      <w:r w:rsidR="006741A3" w:rsidRPr="006741A3">
        <w:rPr>
          <w:b/>
          <w:bCs/>
          <w:i/>
          <w:iCs/>
          <w:highlight w:val="yellow"/>
        </w:rPr>
        <w:t>5% of 10-year TOW</w:t>
      </w:r>
      <w:r w:rsidR="006741A3">
        <w:rPr>
          <w:i/>
          <w:iCs/>
          <w:highlight w:val="yellow"/>
        </w:rPr>
        <w:t>.</w:t>
      </w:r>
      <w:r>
        <w:rPr>
          <w:i/>
          <w:iCs/>
          <w:highlight w:val="yellow"/>
        </w:rPr>
        <w:t xml:space="preserve"> Reach out to us if you need assistance!</w:t>
      </w:r>
      <w:r w:rsidRPr="00AD5A87">
        <w:rPr>
          <w:i/>
          <w:iCs/>
          <w:highlight w:val="yellow"/>
        </w:rPr>
        <w:t>)</w:t>
      </w:r>
      <w:bookmarkEnd w:id="0"/>
      <w:r>
        <w:rPr>
          <w:i/>
          <w:iCs/>
        </w:rPr>
        <w:t xml:space="preserve"> </w:t>
      </w:r>
      <w:r>
        <w:t xml:space="preserve">If endowed with </w:t>
      </w:r>
      <w:r w:rsidRPr="00982353">
        <w:rPr>
          <w:highlight w:val="yellow"/>
        </w:rPr>
        <w:t>[FUND]</w:t>
      </w:r>
      <w:r>
        <w:t xml:space="preserve">, it would be allowed to grow and fuel projects to make our place better for all. Prior </w:t>
      </w:r>
      <w:r w:rsidRPr="00982353">
        <w:rPr>
          <w:highlight w:val="yellow"/>
        </w:rPr>
        <w:t>[FUND]</w:t>
      </w:r>
      <w:r>
        <w:t xml:space="preserve"> projects include </w:t>
      </w:r>
      <w:r w:rsidRPr="00AE2AB0">
        <w:rPr>
          <w:i/>
          <w:iCs/>
          <w:highlight w:val="yellow"/>
        </w:rPr>
        <w:t>(list</w:t>
      </w:r>
      <w:r>
        <w:rPr>
          <w:i/>
          <w:iCs/>
          <w:highlight w:val="yellow"/>
        </w:rPr>
        <w:t xml:space="preserve"> </w:t>
      </w:r>
      <w:r w:rsidRPr="00AE2AB0">
        <w:rPr>
          <w:i/>
          <w:iCs/>
          <w:highlight w:val="yellow"/>
        </w:rPr>
        <w:t>your fund’s achievements!</w:t>
      </w:r>
      <w:proofErr w:type="gramStart"/>
      <w:r w:rsidRPr="00AE2AB0">
        <w:rPr>
          <w:i/>
          <w:iCs/>
          <w:highlight w:val="yellow"/>
        </w:rPr>
        <w:t>)</w:t>
      </w:r>
      <w:r w:rsidRPr="00AE2AB0">
        <w:rPr>
          <w:i/>
          <w:iCs/>
        </w:rPr>
        <w:t xml:space="preserve"> </w:t>
      </w:r>
      <w:r>
        <w:t>.</w:t>
      </w:r>
      <w:proofErr w:type="gramEnd"/>
    </w:p>
    <w:p w14:paraId="354C4446" w14:textId="7B164378" w:rsidR="003868E4" w:rsidRDefault="003868E4" w:rsidP="00620AAF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After clicking on your county, you will see a set of data:</w:t>
      </w:r>
    </w:p>
    <w:p w14:paraId="01A72201" w14:textId="77777777" w:rsidR="006741A3" w:rsidRDefault="003868E4" w:rsidP="00620AAF">
      <w:pPr>
        <w:spacing w:after="0" w:line="240" w:lineRule="auto"/>
        <w:rPr>
          <w:rFonts w:ascii="Calibri" w:hAnsi="Calibri" w:cs="Calibri"/>
          <w:noProof/>
        </w:rPr>
      </w:pPr>
      <w:r>
        <w:rPr>
          <w:noProof/>
        </w:rPr>
        <w:drawing>
          <wp:inline distT="0" distB="0" distL="0" distR="0" wp14:anchorId="2FC9A1FA" wp14:editId="7FE28CFA">
            <wp:extent cx="2882099" cy="2984543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855" cy="300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2235" w14:textId="48160C91" w:rsidR="00110A8D" w:rsidRDefault="006741A3" w:rsidP="00620AAF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So, in Boone County’s case, the paragraph would read, “In </w:t>
      </w:r>
      <w:r w:rsidRPr="006741A3">
        <w:rPr>
          <w:rFonts w:ascii="Calibri" w:hAnsi="Calibri" w:cs="Calibri"/>
          <w:noProof/>
          <w:highlight w:val="yellow"/>
        </w:rPr>
        <w:t>Boone County</w:t>
      </w:r>
      <w:r>
        <w:rPr>
          <w:rFonts w:ascii="Calibri" w:hAnsi="Calibri" w:cs="Calibri"/>
          <w:noProof/>
        </w:rPr>
        <w:t xml:space="preserve">, </w:t>
      </w:r>
      <w:r w:rsidRPr="006741A3">
        <w:rPr>
          <w:rFonts w:ascii="Calibri" w:hAnsi="Calibri" w:cs="Calibri"/>
          <w:noProof/>
          <w:highlight w:val="yellow"/>
        </w:rPr>
        <w:t>$596 million</w:t>
      </w:r>
      <w:r>
        <w:rPr>
          <w:rFonts w:ascii="Calibri" w:hAnsi="Calibri" w:cs="Calibri"/>
          <w:noProof/>
        </w:rPr>
        <w:t xml:space="preserve"> could change hands in the next 10 years. If 5% of that were set aside, our community would receive a </w:t>
      </w:r>
      <w:r w:rsidRPr="006741A3">
        <w:rPr>
          <w:rFonts w:ascii="Calibri" w:hAnsi="Calibri" w:cs="Calibri"/>
          <w:noProof/>
          <w:highlight w:val="yellow"/>
        </w:rPr>
        <w:t>$30 million</w:t>
      </w:r>
      <w:r>
        <w:rPr>
          <w:rFonts w:ascii="Calibri" w:hAnsi="Calibri" w:cs="Calibri"/>
          <w:noProof/>
        </w:rPr>
        <w:t xml:space="preserve"> boost.”</w:t>
      </w:r>
      <w:r w:rsidR="00110A8D">
        <w:rPr>
          <w:rFonts w:ascii="Calibri" w:hAnsi="Calibri" w:cs="Calibri"/>
          <w:noProof/>
        </w:rPr>
        <w:br w:type="page"/>
      </w:r>
    </w:p>
    <w:p w14:paraId="0F7F5B76" w14:textId="028CA17E" w:rsidR="009A3082" w:rsidRPr="00B106C9" w:rsidRDefault="009A3082" w:rsidP="00620AAF">
      <w:pPr>
        <w:spacing w:after="0" w:line="240" w:lineRule="auto"/>
        <w:rPr>
          <w:rFonts w:ascii="Calibri" w:hAnsi="Calibri" w:cs="Calibri"/>
          <w:noProof/>
        </w:rPr>
      </w:pPr>
      <w:r w:rsidRPr="00B106C9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56A78E" wp14:editId="6066E23A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2456180" cy="975995"/>
            <wp:effectExtent l="0" t="0" r="1270" b="0"/>
            <wp:wrapTight wrapText="bothSides">
              <wp:wrapPolygon edited="0">
                <wp:start x="0" y="0"/>
                <wp:lineTo x="0" y="21080"/>
                <wp:lineTo x="21444" y="21080"/>
                <wp:lineTo x="21444" y="0"/>
                <wp:lineTo x="0" y="0"/>
              </wp:wrapPolygon>
            </wp:wrapTight>
            <wp:docPr id="2" name="Picture 2" descr="C:\Users\cmalek-madani\AppData\Local\Microsoft\Windows\INetCache\Content.Word\NCF_Logo_color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alek-madani\AppData\Local\Microsoft\Windows\INetCache\Content.Word\NCF_Logo_color sa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"/>
                    <a:stretch/>
                  </pic:blipFill>
                  <pic:spPr bwMode="auto">
                    <a:xfrm>
                      <a:off x="0" y="0"/>
                      <a:ext cx="24561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6E6C" w14:textId="77777777" w:rsidR="009A3082" w:rsidRPr="00B106C9" w:rsidRDefault="009A3082" w:rsidP="00620AAF">
      <w:pPr>
        <w:spacing w:after="0" w:line="240" w:lineRule="auto"/>
        <w:rPr>
          <w:rFonts w:ascii="Calibri" w:hAnsi="Calibri" w:cs="Calibri"/>
        </w:rPr>
      </w:pPr>
      <w:r w:rsidRPr="00B106C9">
        <w:rPr>
          <w:rFonts w:ascii="Calibri" w:hAnsi="Calibri" w:cs="Calibri"/>
        </w:rPr>
        <w:t>FOR IMMEDIATE RELEASE</w:t>
      </w:r>
      <w:r w:rsidRPr="00B106C9">
        <w:rPr>
          <w:rFonts w:ascii="Calibri" w:eastAsia="Times New Roman" w:hAnsi="Calibri" w:cs="Calibr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17FA6A" w14:textId="034DD137" w:rsidR="009A3082" w:rsidRDefault="00641987" w:rsidP="00620AA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November 15, 2021</w:t>
      </w:r>
    </w:p>
    <w:p w14:paraId="5B5FDE3B" w14:textId="77777777" w:rsidR="00641987" w:rsidRPr="00B106C9" w:rsidRDefault="00641987" w:rsidP="00620AAF">
      <w:pPr>
        <w:spacing w:after="0" w:line="240" w:lineRule="auto"/>
        <w:rPr>
          <w:rFonts w:ascii="Calibri" w:hAnsi="Calibri" w:cs="Calibri"/>
        </w:rPr>
      </w:pPr>
    </w:p>
    <w:p w14:paraId="6BEE7026" w14:textId="07DD6092" w:rsidR="009A3082" w:rsidRDefault="009A3082" w:rsidP="00620AAF">
      <w:pPr>
        <w:spacing w:after="0" w:line="240" w:lineRule="auto"/>
        <w:rPr>
          <w:rFonts w:ascii="Calibri" w:hAnsi="Calibri" w:cs="Calibri"/>
        </w:rPr>
      </w:pPr>
      <w:r w:rsidRPr="00B106C9">
        <w:rPr>
          <w:rFonts w:ascii="Calibri" w:hAnsi="Calibri" w:cs="Calibri"/>
        </w:rPr>
        <w:t xml:space="preserve">Contact: </w:t>
      </w:r>
    </w:p>
    <w:p w14:paraId="52CE7111" w14:textId="395ECA5B" w:rsidR="00641987" w:rsidRPr="00641987" w:rsidRDefault="00641987" w:rsidP="00620AAF">
      <w:pPr>
        <w:spacing w:after="0" w:line="240" w:lineRule="auto"/>
        <w:rPr>
          <w:rFonts w:ascii="Calibri" w:hAnsi="Calibri" w:cs="Calibri"/>
          <w:highlight w:val="yellow"/>
        </w:rPr>
      </w:pPr>
      <w:r w:rsidRPr="00641987">
        <w:rPr>
          <w:rFonts w:ascii="Calibri" w:hAnsi="Calibri" w:cs="Calibri"/>
          <w:highlight w:val="yellow"/>
        </w:rPr>
        <w:t>[NAME]</w:t>
      </w:r>
    </w:p>
    <w:p w14:paraId="780DF5CF" w14:textId="1B76D890" w:rsidR="00641987" w:rsidRPr="00641987" w:rsidRDefault="00641987" w:rsidP="00620AAF">
      <w:pPr>
        <w:spacing w:after="0" w:line="240" w:lineRule="auto"/>
        <w:rPr>
          <w:rFonts w:ascii="Calibri" w:hAnsi="Calibri" w:cs="Calibri"/>
          <w:highlight w:val="yellow"/>
        </w:rPr>
      </w:pPr>
      <w:r w:rsidRPr="00641987">
        <w:rPr>
          <w:rFonts w:ascii="Calibri" w:hAnsi="Calibri" w:cs="Calibri"/>
          <w:highlight w:val="yellow"/>
        </w:rPr>
        <w:t>[EMAIL]</w:t>
      </w:r>
    </w:p>
    <w:p w14:paraId="694A01CE" w14:textId="4502E779" w:rsidR="00641987" w:rsidRPr="00B106C9" w:rsidRDefault="00641987" w:rsidP="00620AAF">
      <w:pPr>
        <w:spacing w:after="0" w:line="240" w:lineRule="auto"/>
        <w:rPr>
          <w:rFonts w:ascii="Calibri" w:hAnsi="Calibri" w:cs="Calibri"/>
        </w:rPr>
      </w:pPr>
      <w:r w:rsidRPr="00641987">
        <w:rPr>
          <w:rFonts w:ascii="Calibri" w:hAnsi="Calibri" w:cs="Calibri"/>
          <w:highlight w:val="yellow"/>
        </w:rPr>
        <w:t>[PHONE]</w:t>
      </w:r>
    </w:p>
    <w:p w14:paraId="080FB48C" w14:textId="77777777" w:rsidR="009A3082" w:rsidRDefault="009A3082" w:rsidP="00620AAF">
      <w:pPr>
        <w:spacing w:after="0" w:line="240" w:lineRule="auto"/>
        <w:jc w:val="center"/>
        <w:rPr>
          <w:b/>
          <w:bCs/>
        </w:rPr>
      </w:pPr>
    </w:p>
    <w:p w14:paraId="5D8E164E" w14:textId="3B0AAD26" w:rsidR="009A3082" w:rsidRDefault="00147F4D" w:rsidP="00620A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Leave Five for </w:t>
      </w:r>
      <w:r w:rsidRPr="00147F4D">
        <w:rPr>
          <w:b/>
          <w:bCs/>
          <w:highlight w:val="yellow"/>
        </w:rPr>
        <w:t>[HOMETOWN]</w:t>
      </w:r>
      <w:r>
        <w:rPr>
          <w:b/>
          <w:bCs/>
        </w:rPr>
        <w:t xml:space="preserve"> to Thrive</w:t>
      </w:r>
    </w:p>
    <w:p w14:paraId="23A15C07" w14:textId="77777777" w:rsidR="00620AAF" w:rsidRDefault="00620AAF" w:rsidP="00620AAF">
      <w:pPr>
        <w:spacing w:after="0" w:line="240" w:lineRule="auto"/>
        <w:jc w:val="center"/>
        <w:rPr>
          <w:b/>
          <w:bCs/>
        </w:rPr>
      </w:pPr>
    </w:p>
    <w:p w14:paraId="129FDB94" w14:textId="00544E7D" w:rsidR="004C4271" w:rsidRDefault="00DA67C7" w:rsidP="00620AAF">
      <w:pPr>
        <w:spacing w:after="0" w:line="240" w:lineRule="auto"/>
      </w:pPr>
      <w:r w:rsidRPr="000F3C0F">
        <w:rPr>
          <w:b/>
          <w:bCs/>
          <w:highlight w:val="yellow"/>
        </w:rPr>
        <w:t>HOMETOWN</w:t>
      </w:r>
      <w:r w:rsidR="009A3082" w:rsidRPr="00F57E94">
        <w:rPr>
          <w:b/>
          <w:bCs/>
        </w:rPr>
        <w:t>, Neb. –</w:t>
      </w:r>
      <w:r w:rsidR="00106656">
        <w:rPr>
          <w:b/>
          <w:bCs/>
        </w:rPr>
        <w:t xml:space="preserve"> </w:t>
      </w:r>
      <w:r w:rsidR="00106656" w:rsidRPr="00106656">
        <w:t>The</w:t>
      </w:r>
      <w:r w:rsidR="003125F1">
        <w:rPr>
          <w:b/>
          <w:bCs/>
        </w:rPr>
        <w:t xml:space="preserve"> </w:t>
      </w:r>
      <w:r w:rsidR="004C4271" w:rsidRPr="004C4271">
        <w:rPr>
          <w:highlight w:val="yellow"/>
        </w:rPr>
        <w:t>[FUND NAME]</w:t>
      </w:r>
      <w:r w:rsidR="004C4271">
        <w:t xml:space="preserve"> </w:t>
      </w:r>
      <w:r w:rsidR="00BE31BF">
        <w:t xml:space="preserve">Advisory Committee </w:t>
      </w:r>
      <w:r w:rsidR="00AD5A87">
        <w:t>invite</w:t>
      </w:r>
      <w:r w:rsidR="00106656">
        <w:t>s</w:t>
      </w:r>
      <w:r w:rsidR="00AD5A87">
        <w:t xml:space="preserve"> </w:t>
      </w:r>
      <w:r w:rsidR="00106656">
        <w:t>all community members</w:t>
      </w:r>
      <w:r w:rsidR="00AD5A87">
        <w:t xml:space="preserve"> to join them in </w:t>
      </w:r>
      <w:r w:rsidR="00B05244">
        <w:t xml:space="preserve">seizing the </w:t>
      </w:r>
      <w:r w:rsidR="004B04FE">
        <w:t>immense</w:t>
      </w:r>
      <w:r w:rsidR="00B05244">
        <w:t xml:space="preserve"> charitable potential of </w:t>
      </w:r>
      <w:r w:rsidR="00B05244" w:rsidRPr="00B05244">
        <w:rPr>
          <w:highlight w:val="yellow"/>
        </w:rPr>
        <w:t>[</w:t>
      </w:r>
      <w:r w:rsidR="00AC1601">
        <w:rPr>
          <w:highlight w:val="yellow"/>
        </w:rPr>
        <w:t>COUNTY</w:t>
      </w:r>
      <w:r w:rsidR="00B05244" w:rsidRPr="00B05244">
        <w:rPr>
          <w:highlight w:val="yellow"/>
        </w:rPr>
        <w:t>]</w:t>
      </w:r>
      <w:r w:rsidR="00CC1107">
        <w:t xml:space="preserve"> as illustrated by </w:t>
      </w:r>
      <w:r w:rsidR="00934412">
        <w:t>the</w:t>
      </w:r>
      <w:r w:rsidR="00CC1107">
        <w:t xml:space="preserve"> 2021 Transfer of Wealth Study</w:t>
      </w:r>
      <w:r w:rsidR="00934412">
        <w:t xml:space="preserve"> recently released by Nebraska Community Foundation</w:t>
      </w:r>
      <w:r w:rsidR="00620AAF">
        <w:t xml:space="preserve"> (NCF)</w:t>
      </w:r>
      <w:r w:rsidR="00934412">
        <w:t>.</w:t>
      </w:r>
    </w:p>
    <w:p w14:paraId="3D53D200" w14:textId="77777777" w:rsidR="00620AAF" w:rsidRPr="004C4271" w:rsidRDefault="00620AAF" w:rsidP="00620AAF">
      <w:pPr>
        <w:spacing w:after="0" w:line="240" w:lineRule="auto"/>
      </w:pPr>
    </w:p>
    <w:p w14:paraId="406C9D22" w14:textId="53AC1381" w:rsidR="00BD3CEC" w:rsidRDefault="00934412" w:rsidP="00620AAF">
      <w:pPr>
        <w:spacing w:after="0" w:line="240" w:lineRule="auto"/>
      </w:pPr>
      <w:r>
        <w:t>Study scenarios suggest</w:t>
      </w:r>
      <w:r w:rsidR="00BE31BF">
        <w:t xml:space="preserve"> that in Nebraska,</w:t>
      </w:r>
      <w:r>
        <w:t xml:space="preserve"> more than $100 billion </w:t>
      </w:r>
      <w:r w:rsidR="00BE31BF">
        <w:t xml:space="preserve">will </w:t>
      </w:r>
      <w:r>
        <w:t xml:space="preserve">transfer </w:t>
      </w:r>
      <w:r w:rsidR="00F53937">
        <w:t>from older to younger generations</w:t>
      </w:r>
      <w:r>
        <w:t xml:space="preserve"> </w:t>
      </w:r>
      <w:r w:rsidR="004645C0">
        <w:t>during the next</w:t>
      </w:r>
      <w:r>
        <w:t xml:space="preserve"> decade</w:t>
      </w:r>
      <w:r w:rsidR="00E81D4D">
        <w:t>.</w:t>
      </w:r>
      <w:r w:rsidR="00BD3CEC">
        <w:t xml:space="preserve"> </w:t>
      </w:r>
      <w:r>
        <w:t>Over</w:t>
      </w:r>
      <w:r w:rsidR="000046D8">
        <w:t xml:space="preserve"> </w:t>
      </w:r>
      <w:r w:rsidR="00BE31BF">
        <w:t xml:space="preserve">the next </w:t>
      </w:r>
      <w:r w:rsidR="009A3082">
        <w:t>50 years, the figure swells to $950 billion.</w:t>
      </w:r>
      <w:r w:rsidR="00BD3CEC">
        <w:t xml:space="preserve"> </w:t>
      </w:r>
      <w:r w:rsidR="009A3082" w:rsidRPr="00631F26">
        <w:t xml:space="preserve">Scenarios are driven by </w:t>
      </w:r>
      <w:r w:rsidR="00F31EBE">
        <w:t xml:space="preserve">conservative </w:t>
      </w:r>
      <w:r w:rsidR="009A3082" w:rsidRPr="00631F26">
        <w:t xml:space="preserve">assumptions about the future, based on historical trends, census data, increasing agricultural land values, household income and other key indicators. </w:t>
      </w:r>
    </w:p>
    <w:p w14:paraId="0B752B5C" w14:textId="77777777" w:rsidR="00620AAF" w:rsidRDefault="00620AAF" w:rsidP="00620AAF">
      <w:pPr>
        <w:spacing w:after="0" w:line="240" w:lineRule="auto"/>
      </w:pPr>
    </w:p>
    <w:p w14:paraId="5E80C05A" w14:textId="290D26B0" w:rsidR="00620AAF" w:rsidRDefault="00620AAF" w:rsidP="00620AAF">
      <w:pPr>
        <w:spacing w:after="0" w:line="240" w:lineRule="auto"/>
      </w:pPr>
      <w:r w:rsidRPr="004F4CFD">
        <w:t xml:space="preserve">There is always </w:t>
      </w:r>
      <w:r>
        <w:t>an intergenerational transfer</w:t>
      </w:r>
      <w:r w:rsidRPr="004F4CFD">
        <w:t xml:space="preserve"> as parents pass away and leave their estate</w:t>
      </w:r>
      <w:r>
        <w:t>s</w:t>
      </w:r>
      <w:r w:rsidRPr="004F4CFD">
        <w:t xml:space="preserve"> to their children</w:t>
      </w:r>
      <w:r>
        <w:t>, b</w:t>
      </w:r>
      <w:r w:rsidRPr="004F4CFD">
        <w:t xml:space="preserve">ut if the heirs no longer live where they grew up those critical resources </w:t>
      </w:r>
      <w:r>
        <w:t>may leave our Nebraska hometowns entirely</w:t>
      </w:r>
      <w:r w:rsidRPr="004F4CFD">
        <w:t>.</w:t>
      </w:r>
    </w:p>
    <w:p w14:paraId="7892059A" w14:textId="77777777" w:rsidR="00620AAF" w:rsidRPr="00620AAF" w:rsidRDefault="00620AAF" w:rsidP="00620AAF">
      <w:pPr>
        <w:spacing w:after="0" w:line="240" w:lineRule="auto"/>
        <w:rPr>
          <w:rFonts w:cstheme="minorHAnsi"/>
        </w:rPr>
      </w:pPr>
    </w:p>
    <w:p w14:paraId="0FBE7778" w14:textId="14EDD2B8" w:rsidR="009A3082" w:rsidRDefault="009A3082" w:rsidP="00620AAF">
      <w:pPr>
        <w:spacing w:after="0" w:line="240" w:lineRule="auto"/>
        <w:rPr>
          <w:rFonts w:cstheme="minorHAnsi"/>
        </w:rPr>
      </w:pPr>
      <w:r>
        <w:t xml:space="preserve">The </w:t>
      </w:r>
      <w:r w:rsidR="00865721">
        <w:t>study’s release</w:t>
      </w:r>
      <w:r>
        <w:t xml:space="preserve"> marks the beginning of NCF’s Five to Thrive campaign, which urges Nebraskans to consider leaving</w:t>
      </w:r>
      <w:r w:rsidR="009037F1">
        <w:t xml:space="preserve"> just</w:t>
      </w:r>
      <w:r>
        <w:t xml:space="preserve"> 5% of their</w:t>
      </w:r>
      <w:r w:rsidR="004645C0">
        <w:t xml:space="preserve"> estate to their hometown. </w:t>
      </w:r>
      <w:r w:rsidR="009037F1">
        <w:rPr>
          <w:rFonts w:cstheme="minorHAnsi"/>
        </w:rPr>
        <w:t>Doing so</w:t>
      </w:r>
      <w:r w:rsidRPr="00591AA5">
        <w:rPr>
          <w:rFonts w:cstheme="minorHAnsi"/>
        </w:rPr>
        <w:t xml:space="preserve"> would amount to more than $5 billion in the next decade</w:t>
      </w:r>
      <w:r>
        <w:rPr>
          <w:rFonts w:cstheme="minorHAnsi"/>
        </w:rPr>
        <w:t xml:space="preserve"> – and $47.5 billion over the next half-century</w:t>
      </w:r>
      <w:r w:rsidR="00620AAF">
        <w:rPr>
          <w:rFonts w:cstheme="minorHAnsi"/>
        </w:rPr>
        <w:t>.</w:t>
      </w:r>
    </w:p>
    <w:p w14:paraId="02B9945F" w14:textId="77777777" w:rsidR="00620AAF" w:rsidRDefault="00620AAF" w:rsidP="00620AAF">
      <w:pPr>
        <w:spacing w:after="0" w:line="240" w:lineRule="auto"/>
        <w:rPr>
          <w:rFonts w:cstheme="minorHAnsi"/>
        </w:rPr>
      </w:pPr>
    </w:p>
    <w:p w14:paraId="3162BD23" w14:textId="247DA47B" w:rsidR="00106656" w:rsidRDefault="00807312" w:rsidP="00620AAF">
      <w:pPr>
        <w:spacing w:after="0" w:line="240" w:lineRule="auto"/>
        <w:rPr>
          <w:i/>
          <w:iCs/>
        </w:rPr>
      </w:pPr>
      <w:r w:rsidRPr="00AD5A87">
        <w:t xml:space="preserve">In </w:t>
      </w:r>
      <w:r w:rsidRPr="00AD5A87">
        <w:rPr>
          <w:highlight w:val="yellow"/>
        </w:rPr>
        <w:t>COUNTY</w:t>
      </w:r>
      <w:r w:rsidRPr="00AD5A87">
        <w:t xml:space="preserve">, </w:t>
      </w:r>
      <w:r w:rsidR="00982353" w:rsidRPr="00982353">
        <w:rPr>
          <w:highlight w:val="yellow"/>
        </w:rPr>
        <w:t>$</w:t>
      </w:r>
      <w:r w:rsidRPr="00AD5A87">
        <w:rPr>
          <w:highlight w:val="yellow"/>
        </w:rPr>
        <w:t>NUMBER</w:t>
      </w:r>
      <w:r w:rsidRPr="00AD5A87">
        <w:t xml:space="preserve"> </w:t>
      </w:r>
      <w:r w:rsidR="00B05244">
        <w:t>could</w:t>
      </w:r>
      <w:r w:rsidRPr="00AD5A87">
        <w:t xml:space="preserve"> </w:t>
      </w:r>
      <w:r w:rsidR="004645C0">
        <w:t>transfer</w:t>
      </w:r>
      <w:r w:rsidRPr="00AD5A87">
        <w:t xml:space="preserve"> in the next 10 years. If 5% of that were </w:t>
      </w:r>
      <w:r w:rsidR="004645C0">
        <w:t>endowed</w:t>
      </w:r>
      <w:r w:rsidR="00B05244">
        <w:t xml:space="preserve">, our community would receive a </w:t>
      </w:r>
      <w:r w:rsidR="00982353" w:rsidRPr="00982353">
        <w:rPr>
          <w:highlight w:val="yellow"/>
        </w:rPr>
        <w:t>$</w:t>
      </w:r>
      <w:r w:rsidRPr="00AD5A87">
        <w:rPr>
          <w:highlight w:val="yellow"/>
        </w:rPr>
        <w:t>NUMBER</w:t>
      </w:r>
      <w:r w:rsidR="00B05244">
        <w:t xml:space="preserve"> boost</w:t>
      </w:r>
      <w:r w:rsidRPr="00AD5A87">
        <w:t xml:space="preserve">. </w:t>
      </w:r>
      <w:r w:rsidR="006741A3" w:rsidRPr="006741A3">
        <w:rPr>
          <w:i/>
          <w:iCs/>
          <w:highlight w:val="yellow"/>
        </w:rPr>
        <w:t xml:space="preserve">(Note: To find your county’s Transfer of Wealth figures, visit </w:t>
      </w:r>
      <w:hyperlink r:id="rId8" w:history="1">
        <w:r w:rsidR="006741A3" w:rsidRPr="006741A3">
          <w:rPr>
            <w:rStyle w:val="Hyperlink"/>
            <w:i/>
            <w:iCs/>
            <w:highlight w:val="yellow"/>
          </w:rPr>
          <w:t>www.fivetothrivene.org</w:t>
        </w:r>
      </w:hyperlink>
      <w:r w:rsidR="006741A3" w:rsidRPr="006741A3">
        <w:rPr>
          <w:i/>
          <w:iCs/>
          <w:highlight w:val="yellow"/>
        </w:rPr>
        <w:t xml:space="preserve"> and click your county on the interactive map. The two figures cited in this paragraph are </w:t>
      </w:r>
      <w:r w:rsidR="006741A3" w:rsidRPr="006741A3">
        <w:rPr>
          <w:b/>
          <w:bCs/>
          <w:i/>
          <w:iCs/>
          <w:highlight w:val="yellow"/>
        </w:rPr>
        <w:t>10-year TOW</w:t>
      </w:r>
      <w:r w:rsidR="006741A3" w:rsidRPr="006741A3">
        <w:rPr>
          <w:i/>
          <w:iCs/>
          <w:highlight w:val="yellow"/>
        </w:rPr>
        <w:t xml:space="preserve"> and </w:t>
      </w:r>
      <w:r w:rsidR="006741A3" w:rsidRPr="006741A3">
        <w:rPr>
          <w:b/>
          <w:bCs/>
          <w:i/>
          <w:iCs/>
          <w:highlight w:val="yellow"/>
        </w:rPr>
        <w:t>5% of 10-year TOW</w:t>
      </w:r>
      <w:r w:rsidR="006741A3" w:rsidRPr="006741A3">
        <w:rPr>
          <w:i/>
          <w:iCs/>
          <w:highlight w:val="yellow"/>
        </w:rPr>
        <w:t>. Reach out to us if you need assistance!)</w:t>
      </w:r>
    </w:p>
    <w:p w14:paraId="031BBD5C" w14:textId="77777777" w:rsidR="00620AAF" w:rsidRDefault="00620AAF" w:rsidP="00620AAF">
      <w:pPr>
        <w:spacing w:after="0" w:line="240" w:lineRule="auto"/>
      </w:pPr>
    </w:p>
    <w:p w14:paraId="0066EF24" w14:textId="5A3C1F27" w:rsidR="00106656" w:rsidRDefault="00106656" w:rsidP="00620AAF">
      <w:pPr>
        <w:spacing w:after="0" w:line="240" w:lineRule="auto"/>
        <w:rPr>
          <w:rFonts w:cstheme="minorHAnsi"/>
        </w:rPr>
      </w:pPr>
      <w:r w:rsidRPr="00F23317">
        <w:rPr>
          <w:rFonts w:cstheme="minorHAnsi"/>
        </w:rPr>
        <w:t>“If endowed, think of the impact that kind of money could have on education, health, prosperity and quality of life,” said N</w:t>
      </w:r>
      <w:r>
        <w:rPr>
          <w:rFonts w:cstheme="minorHAnsi"/>
        </w:rPr>
        <w:t>ebraska Community Foundation</w:t>
      </w:r>
      <w:r w:rsidRPr="00F23317">
        <w:rPr>
          <w:rFonts w:cstheme="minorHAnsi"/>
        </w:rPr>
        <w:t xml:space="preserve"> President and CEO Jeff Yost. “Think of how it could contribute to a community’s ability to attract quality talent and young families. Harnessing just a small percentage of the transfer of wealth could be a game changer for the future of our hometowns.”</w:t>
      </w:r>
    </w:p>
    <w:p w14:paraId="4F8405DE" w14:textId="77777777" w:rsidR="00620AAF" w:rsidRDefault="00620AAF" w:rsidP="00620AAF">
      <w:pPr>
        <w:spacing w:after="0" w:line="240" w:lineRule="auto"/>
        <w:rPr>
          <w:rFonts w:cstheme="minorHAnsi"/>
        </w:rPr>
      </w:pPr>
    </w:p>
    <w:p w14:paraId="6126380B" w14:textId="16E1F94E" w:rsidR="00164DB4" w:rsidRDefault="00AE2AB0" w:rsidP="00620AAF">
      <w:pPr>
        <w:spacing w:after="0" w:line="240" w:lineRule="auto"/>
      </w:pPr>
      <w:r>
        <w:t xml:space="preserve">Prior </w:t>
      </w:r>
      <w:r w:rsidRPr="00982353">
        <w:rPr>
          <w:highlight w:val="yellow"/>
        </w:rPr>
        <w:t>[FUND]</w:t>
      </w:r>
      <w:r>
        <w:t xml:space="preserve"> projects</w:t>
      </w:r>
      <w:r w:rsidR="00106656">
        <w:t xml:space="preserve"> funded through local philanthropy</w:t>
      </w:r>
      <w:r>
        <w:t xml:space="preserve"> include </w:t>
      </w:r>
      <w:r w:rsidRPr="00AE2AB0">
        <w:rPr>
          <w:i/>
          <w:iCs/>
          <w:highlight w:val="yellow"/>
        </w:rPr>
        <w:t>(list</w:t>
      </w:r>
      <w:r w:rsidR="00982353">
        <w:rPr>
          <w:i/>
          <w:iCs/>
          <w:highlight w:val="yellow"/>
        </w:rPr>
        <w:t xml:space="preserve"> </w:t>
      </w:r>
      <w:r w:rsidRPr="00AE2AB0">
        <w:rPr>
          <w:i/>
          <w:iCs/>
          <w:highlight w:val="yellow"/>
        </w:rPr>
        <w:t>your fund’s achievements!)</w:t>
      </w:r>
      <w:r w:rsidR="00F31EBE">
        <w:t>.</w:t>
      </w:r>
    </w:p>
    <w:p w14:paraId="7625EF23" w14:textId="77777777" w:rsidR="00620AAF" w:rsidRPr="00AD5A87" w:rsidRDefault="00620AAF" w:rsidP="00620AAF">
      <w:pPr>
        <w:spacing w:after="0" w:line="240" w:lineRule="auto"/>
        <w:rPr>
          <w:i/>
          <w:iCs/>
        </w:rPr>
      </w:pPr>
    </w:p>
    <w:p w14:paraId="597F0562" w14:textId="28540EB2" w:rsidR="009A3082" w:rsidRDefault="009A3082" w:rsidP="00620AAF">
      <w:pPr>
        <w:spacing w:after="0" w:line="240" w:lineRule="auto"/>
      </w:pPr>
      <w:r w:rsidRPr="004F4CFD">
        <w:t xml:space="preserve">Importantly, many Nebraska counties are approaching or are already </w:t>
      </w:r>
      <w:r w:rsidR="00DA67C7">
        <w:t>experiencing</w:t>
      </w:r>
      <w:r w:rsidRPr="004F4CFD">
        <w:t xml:space="preserve"> their peak transfer years. </w:t>
      </w:r>
      <w:r>
        <w:t>The Transfer of Wealth Study illustrates the</w:t>
      </w:r>
      <w:r w:rsidRPr="004F4CFD">
        <w:t xml:space="preserve"> real urgency to act now</w:t>
      </w:r>
      <w:r w:rsidR="008D3592">
        <w:t xml:space="preserve"> to secure this tremendous community-building abundance</w:t>
      </w:r>
      <w:r>
        <w:t>.</w:t>
      </w:r>
    </w:p>
    <w:p w14:paraId="3BC49B9B" w14:textId="77777777" w:rsidR="00620AAF" w:rsidRDefault="00620AAF" w:rsidP="00620AAF">
      <w:pPr>
        <w:spacing w:after="0" w:line="240" w:lineRule="auto"/>
      </w:pPr>
    </w:p>
    <w:p w14:paraId="517D08B9" w14:textId="00925417" w:rsidR="00B05244" w:rsidRDefault="00B05244" w:rsidP="00620AAF">
      <w:pPr>
        <w:spacing w:after="0" w:line="240" w:lineRule="auto"/>
        <w:rPr>
          <w:rFonts w:cstheme="minorHAnsi"/>
        </w:rPr>
      </w:pPr>
      <w:r w:rsidRPr="00807312">
        <w:rPr>
          <w:rFonts w:cstheme="minorHAnsi"/>
          <w:highlight w:val="yellow"/>
        </w:rPr>
        <w:t>“</w:t>
      </w:r>
      <w:r>
        <w:rPr>
          <w:rFonts w:cstheme="minorHAnsi"/>
          <w:highlight w:val="yellow"/>
        </w:rPr>
        <w:t>The transfer of wealth is a significant pathway to strengthening our community</w:t>
      </w:r>
      <w:r w:rsidRPr="00807312">
        <w:rPr>
          <w:rFonts w:cstheme="minorHAnsi"/>
          <w:highlight w:val="yellow"/>
        </w:rPr>
        <w:t>,” said</w:t>
      </w:r>
      <w:r>
        <w:rPr>
          <w:rFonts w:cstheme="minorHAnsi"/>
          <w:highlight w:val="yellow"/>
        </w:rPr>
        <w:t xml:space="preserve"> [FUND</w:t>
      </w:r>
      <w:r w:rsidR="003868E4">
        <w:rPr>
          <w:rFonts w:cstheme="minorHAnsi"/>
          <w:highlight w:val="yellow"/>
        </w:rPr>
        <w:t xml:space="preserve"> NAME</w:t>
      </w:r>
      <w:r>
        <w:rPr>
          <w:rFonts w:cstheme="minorHAnsi"/>
          <w:highlight w:val="yellow"/>
        </w:rPr>
        <w:t>] member [NAME]</w:t>
      </w:r>
      <w:r w:rsidRPr="00807312">
        <w:rPr>
          <w:rFonts w:cstheme="minorHAnsi"/>
          <w:highlight w:val="yellow"/>
        </w:rPr>
        <w:t>. “</w:t>
      </w:r>
      <w:r>
        <w:rPr>
          <w:rFonts w:cstheme="minorHAnsi"/>
          <w:highlight w:val="yellow"/>
        </w:rPr>
        <w:t>The potential for substantial impact is right in front of us</w:t>
      </w:r>
      <w:r w:rsidRPr="00807312">
        <w:rPr>
          <w:rFonts w:cstheme="minorHAnsi"/>
          <w:highlight w:val="yellow"/>
        </w:rPr>
        <w:t>.</w:t>
      </w:r>
      <w:r w:rsidR="00CC1107">
        <w:rPr>
          <w:rFonts w:cstheme="minorHAnsi"/>
          <w:highlight w:val="yellow"/>
        </w:rPr>
        <w:t xml:space="preserve"> W</w:t>
      </w:r>
      <w:r w:rsidR="00620AAF">
        <w:rPr>
          <w:rFonts w:cstheme="minorHAnsi"/>
          <w:highlight w:val="yellow"/>
        </w:rPr>
        <w:t>hen we all leave</w:t>
      </w:r>
      <w:r w:rsidR="00CC1107">
        <w:rPr>
          <w:rFonts w:cstheme="minorHAnsi"/>
          <w:highlight w:val="yellow"/>
        </w:rPr>
        <w:t xml:space="preserve"> five, [HOMETOWN] thrives.</w:t>
      </w:r>
      <w:r w:rsidRPr="00807312">
        <w:rPr>
          <w:rFonts w:cstheme="minorHAnsi"/>
          <w:highlight w:val="yellow"/>
        </w:rPr>
        <w:t>”</w:t>
      </w:r>
    </w:p>
    <w:p w14:paraId="08B0B47A" w14:textId="77777777" w:rsidR="00620AAF" w:rsidRDefault="00620AAF" w:rsidP="00620AAF">
      <w:pPr>
        <w:spacing w:after="0" w:line="240" w:lineRule="auto"/>
        <w:rPr>
          <w:rFonts w:cstheme="minorHAnsi"/>
        </w:rPr>
      </w:pPr>
    </w:p>
    <w:p w14:paraId="65EC7AA3" w14:textId="23F05D86" w:rsidR="00147F4D" w:rsidRDefault="00147F4D" w:rsidP="00620AAF">
      <w:pPr>
        <w:spacing w:after="0" w:line="240" w:lineRule="auto"/>
      </w:pPr>
      <w:r w:rsidRPr="00147F4D">
        <w:lastRenderedPageBreak/>
        <w:t xml:space="preserve">Learn more about the transfer of wealth and </w:t>
      </w:r>
      <w:r w:rsidR="00C55E93">
        <w:t>how you can</w:t>
      </w:r>
      <w:r w:rsidRPr="00147F4D">
        <w:t xml:space="preserve"> get involved</w:t>
      </w:r>
      <w:r w:rsidR="00C55E93">
        <w:t xml:space="preserve"> in this massive opportunity</w:t>
      </w:r>
      <w:r w:rsidRPr="00147F4D">
        <w:t xml:space="preserve"> at </w:t>
      </w:r>
      <w:hyperlink r:id="rId9" w:history="1">
        <w:r w:rsidR="00620AAF" w:rsidRPr="00EB3677">
          <w:rPr>
            <w:rStyle w:val="Hyperlink"/>
            <w:b/>
            <w:bCs/>
          </w:rPr>
          <w:t>www.fivetothrivene.org</w:t>
        </w:r>
      </w:hyperlink>
      <w:r w:rsidRPr="00147F4D">
        <w:t>.</w:t>
      </w:r>
    </w:p>
    <w:p w14:paraId="1FE5EE17" w14:textId="77777777" w:rsidR="00620AAF" w:rsidRPr="00147F4D" w:rsidRDefault="00620AAF" w:rsidP="00620AAF">
      <w:pPr>
        <w:spacing w:after="0" w:line="240" w:lineRule="auto"/>
      </w:pPr>
    </w:p>
    <w:p w14:paraId="4D430F41" w14:textId="654367A8" w:rsidR="006D131D" w:rsidRPr="006D131D" w:rsidRDefault="006D131D" w:rsidP="00620AAF">
      <w:pPr>
        <w:spacing w:after="0" w:line="240" w:lineRule="auto"/>
        <w:rPr>
          <w:b/>
          <w:bCs/>
        </w:rPr>
      </w:pPr>
      <w:r w:rsidRPr="006D131D">
        <w:rPr>
          <w:b/>
          <w:bCs/>
        </w:rPr>
        <w:t>About [FUND NAME]</w:t>
      </w:r>
    </w:p>
    <w:p w14:paraId="277FCC72" w14:textId="448E9838" w:rsidR="006D131D" w:rsidRDefault="00F31EBE" w:rsidP="00620AAF">
      <w:pPr>
        <w:spacing w:after="0" w:line="240" w:lineRule="auto"/>
        <w:rPr>
          <w:i/>
          <w:iCs/>
        </w:rPr>
      </w:pPr>
      <w:r w:rsidRPr="00F31EBE">
        <w:rPr>
          <w:i/>
          <w:iCs/>
          <w:highlight w:val="yellow"/>
        </w:rPr>
        <w:t>Insert description of your fund</w:t>
      </w:r>
      <w:r w:rsidR="00AC1601">
        <w:rPr>
          <w:i/>
          <w:iCs/>
        </w:rPr>
        <w:t xml:space="preserve"> </w:t>
      </w:r>
    </w:p>
    <w:p w14:paraId="2D7280F9" w14:textId="77777777" w:rsidR="00620AAF" w:rsidRDefault="00620AAF" w:rsidP="00620AAF">
      <w:pPr>
        <w:spacing w:after="0" w:line="240" w:lineRule="auto"/>
        <w:rPr>
          <w:i/>
          <w:iCs/>
        </w:rPr>
      </w:pPr>
    </w:p>
    <w:p w14:paraId="34974957" w14:textId="4318A909" w:rsidR="00AC1601" w:rsidRDefault="00AC1601" w:rsidP="00620AAF">
      <w:pPr>
        <w:spacing w:after="0" w:line="240" w:lineRule="auto"/>
      </w:pPr>
      <w:r w:rsidRPr="00982353">
        <w:rPr>
          <w:highlight w:val="yellow"/>
        </w:rPr>
        <w:t>[FUND]</w:t>
      </w:r>
      <w:r>
        <w:t xml:space="preserve"> is an affiliated fund of Nebraska Community Foundation.</w:t>
      </w:r>
    </w:p>
    <w:p w14:paraId="24198FB8" w14:textId="77777777" w:rsidR="00AC1601" w:rsidRPr="00F31EBE" w:rsidRDefault="00AC1601" w:rsidP="00620AAF">
      <w:pPr>
        <w:spacing w:after="0" w:line="240" w:lineRule="auto"/>
        <w:rPr>
          <w:i/>
          <w:iCs/>
        </w:rPr>
      </w:pPr>
    </w:p>
    <w:p w14:paraId="1201DF83" w14:textId="20ACFD58" w:rsidR="009A3082" w:rsidRPr="0063621C" w:rsidRDefault="009A3082" w:rsidP="00620AAF">
      <w:pPr>
        <w:spacing w:after="0" w:line="240" w:lineRule="auto"/>
        <w:rPr>
          <w:b/>
          <w:bCs/>
        </w:rPr>
      </w:pPr>
      <w:r w:rsidRPr="0063621C">
        <w:rPr>
          <w:b/>
          <w:bCs/>
        </w:rPr>
        <w:t>About Nebraska Community Foundation</w:t>
      </w:r>
    </w:p>
    <w:p w14:paraId="6CE87177" w14:textId="7B95850A" w:rsidR="009A3082" w:rsidRDefault="009A3082" w:rsidP="00620AAF">
      <w:pPr>
        <w:spacing w:after="0" w:line="240" w:lineRule="auto"/>
      </w:pPr>
      <w:r w:rsidRPr="0063621C">
        <w:t xml:space="preserve">Nebraska Community Foundation unleashes abundant local assets, inspires charitable </w:t>
      </w:r>
      <w:proofErr w:type="gramStart"/>
      <w:r w:rsidRPr="0063621C">
        <w:t>giving</w:t>
      </w:r>
      <w:proofErr w:type="gramEnd"/>
      <w:r w:rsidRPr="0063621C">
        <w:t xml:space="preserve"> and connects ambitious people to build stronger communities and a Greater Nebraska. </w:t>
      </w:r>
    </w:p>
    <w:p w14:paraId="321DD914" w14:textId="77777777" w:rsidR="0068482C" w:rsidRPr="0063621C" w:rsidRDefault="0068482C" w:rsidP="00620AAF">
      <w:pPr>
        <w:spacing w:after="0" w:line="240" w:lineRule="auto"/>
      </w:pPr>
    </w:p>
    <w:p w14:paraId="2C55CA02" w14:textId="3E1DA543" w:rsidR="009A3082" w:rsidRDefault="009A3082" w:rsidP="00620AAF">
      <w:pPr>
        <w:spacing w:after="0" w:line="240" w:lineRule="auto"/>
      </w:pPr>
      <w:r w:rsidRPr="0063621C">
        <w:t xml:space="preserve">Headquartered in Lincoln, the Foundation serves communities, </w:t>
      </w:r>
      <w:proofErr w:type="gramStart"/>
      <w:r w:rsidRPr="0063621C">
        <w:t>donors</w:t>
      </w:r>
      <w:proofErr w:type="gramEnd"/>
      <w:r w:rsidRPr="0063621C">
        <w:t xml:space="preserve"> and organizations by providing financial management, strategic development, education and training to a statewide network of 1,500 volunteers serving over 270 communities. </w:t>
      </w:r>
    </w:p>
    <w:p w14:paraId="1259E2BE" w14:textId="77777777" w:rsidR="0068482C" w:rsidRPr="0063621C" w:rsidRDefault="0068482C" w:rsidP="00620AAF">
      <w:pPr>
        <w:spacing w:after="0" w:line="240" w:lineRule="auto"/>
      </w:pPr>
    </w:p>
    <w:p w14:paraId="7233783A" w14:textId="77777777" w:rsidR="009A3082" w:rsidRPr="0063621C" w:rsidRDefault="009A3082" w:rsidP="00620AAF">
      <w:pPr>
        <w:spacing w:after="0" w:line="240" w:lineRule="auto"/>
      </w:pPr>
      <w:r w:rsidRPr="0063621C">
        <w:t xml:space="preserve">In the last five years, 45,915 contributions have been made to NCF and its affiliated funds. Since 1994, NCF has reinvested $423 million in Nebraska’s people and places. For information, visit </w:t>
      </w:r>
      <w:hyperlink r:id="rId10" w:history="1">
        <w:r w:rsidRPr="0063621C">
          <w:rPr>
            <w:rStyle w:val="Hyperlink"/>
          </w:rPr>
          <w:t>NebraskaHometown.org.</w:t>
        </w:r>
      </w:hyperlink>
    </w:p>
    <w:p w14:paraId="3B98508B" w14:textId="77777777" w:rsidR="009A3082" w:rsidRPr="00217DE2" w:rsidRDefault="009A3082" w:rsidP="00620AAF">
      <w:pPr>
        <w:spacing w:after="0" w:line="240" w:lineRule="auto"/>
        <w:rPr>
          <w:b/>
          <w:bCs/>
        </w:rPr>
      </w:pPr>
    </w:p>
    <w:p w14:paraId="2E7013AC" w14:textId="77777777" w:rsidR="001A013B" w:rsidRDefault="001A013B" w:rsidP="00620AAF">
      <w:pPr>
        <w:spacing w:after="0" w:line="240" w:lineRule="auto"/>
      </w:pPr>
    </w:p>
    <w:sectPr w:rsidR="001A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82"/>
    <w:rsid w:val="000046D8"/>
    <w:rsid w:val="00070A96"/>
    <w:rsid w:val="0009339B"/>
    <w:rsid w:val="000F3C0F"/>
    <w:rsid w:val="00106656"/>
    <w:rsid w:val="00110A8D"/>
    <w:rsid w:val="00147F4D"/>
    <w:rsid w:val="00164DB4"/>
    <w:rsid w:val="001A013B"/>
    <w:rsid w:val="002F3A22"/>
    <w:rsid w:val="003125F1"/>
    <w:rsid w:val="003441CE"/>
    <w:rsid w:val="00356CE6"/>
    <w:rsid w:val="00382235"/>
    <w:rsid w:val="003868E4"/>
    <w:rsid w:val="004645C0"/>
    <w:rsid w:val="004B04FE"/>
    <w:rsid w:val="004C4271"/>
    <w:rsid w:val="00506292"/>
    <w:rsid w:val="00553D35"/>
    <w:rsid w:val="00620AAF"/>
    <w:rsid w:val="00641987"/>
    <w:rsid w:val="006741A3"/>
    <w:rsid w:val="0068482C"/>
    <w:rsid w:val="006A7C85"/>
    <w:rsid w:val="006D131D"/>
    <w:rsid w:val="00712017"/>
    <w:rsid w:val="00807312"/>
    <w:rsid w:val="00865721"/>
    <w:rsid w:val="008D3592"/>
    <w:rsid w:val="009037F1"/>
    <w:rsid w:val="00922081"/>
    <w:rsid w:val="00934412"/>
    <w:rsid w:val="00982353"/>
    <w:rsid w:val="00991B2D"/>
    <w:rsid w:val="009A3082"/>
    <w:rsid w:val="009F588C"/>
    <w:rsid w:val="00AC1601"/>
    <w:rsid w:val="00AD5A87"/>
    <w:rsid w:val="00AE2AB0"/>
    <w:rsid w:val="00AE3E69"/>
    <w:rsid w:val="00B05244"/>
    <w:rsid w:val="00BD3CEC"/>
    <w:rsid w:val="00BE024B"/>
    <w:rsid w:val="00BE31BF"/>
    <w:rsid w:val="00C55E93"/>
    <w:rsid w:val="00CC1107"/>
    <w:rsid w:val="00DA67C7"/>
    <w:rsid w:val="00E81D4D"/>
    <w:rsid w:val="00F31EBE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EF8B"/>
  <w15:chartTrackingRefBased/>
  <w15:docId w15:val="{BAFE3D9D-FAC4-4BB7-8E05-B26BCEA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tothriven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ivetothrivene.org" TargetMode="External"/><Relationship Id="rId10" Type="http://schemas.openxmlformats.org/officeDocument/2006/relationships/hyperlink" Target="http://www.nebcommfound.org" TargetMode="External"/><Relationship Id="rId4" Type="http://schemas.openxmlformats.org/officeDocument/2006/relationships/hyperlink" Target="http://www.fivetothrivene.org" TargetMode="External"/><Relationship Id="rId9" Type="http://schemas.openxmlformats.org/officeDocument/2006/relationships/hyperlink" Target="http://www.fivetothrive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Wunder</dc:creator>
  <cp:keywords/>
  <dc:description/>
  <cp:lastModifiedBy>Carrie Malek-Madani</cp:lastModifiedBy>
  <cp:revision>21</cp:revision>
  <cp:lastPrinted>2021-10-27T19:46:00Z</cp:lastPrinted>
  <dcterms:created xsi:type="dcterms:W3CDTF">2021-10-25T13:56:00Z</dcterms:created>
  <dcterms:modified xsi:type="dcterms:W3CDTF">2021-11-11T19:23:00Z</dcterms:modified>
</cp:coreProperties>
</file>